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2" w:name="_GoBack"/>
      <w:bookmarkStart w:id="0" w:name="_Toc5639"/>
      <w:r>
        <w:rPr>
          <w:rFonts w:hint="eastAsia"/>
        </w:rPr>
        <w:t>非公司企业法人按《公司法》改制登记提交材料规范</w:t>
      </w:r>
      <w:bookmarkEnd w:id="0"/>
    </w:p>
    <w:bookmarkEnd w:id="2"/>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1"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6"/>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1"/>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24A43912"/>
    <w:rsid w:val="24A43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1584</Words>
  <Characters>1595</Characters>
  <Lines>0</Lines>
  <Paragraphs>0</Paragraphs>
  <TotalTime>0</TotalTime>
  <ScaleCrop>false</ScaleCrop>
  <LinksUpToDate>false</LinksUpToDate>
  <CharactersWithSpaces>1595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2023-06-12T07:52:00Z</dcterms:created>
  <dc:creator>小蛋糕</dc:creator>
  <cp:lastModifiedBy>小蛋糕</cp:lastModifiedBy>
  <dcterms:modified xsi:type="dcterms:W3CDTF">2023-06-12T07:52:40Z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5889D5E291CF4DBC9C1B317ABBA4D3EC_11</vt:lpwstr>
  </property>
</Properties>
</file>