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1" w:name="_GoBack"/>
      <w:bookmarkStart w:id="0" w:name="_Toc2937"/>
      <w:r>
        <w:rPr>
          <w:rFonts w:hint="eastAsia"/>
        </w:rPr>
        <w:t>非公司企业法人注销登记提交材料规范</w:t>
      </w:r>
      <w:bookmarkEnd w:id="0"/>
    </w:p>
    <w:bookmarkEnd w:id="1"/>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《企业注销登记申请书》。</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2</w:t>
      </w:r>
      <w:r>
        <w:rPr>
          <w:rFonts w:ascii="宋体" w:hAnsi="宋体"/>
          <w:szCs w:val="24"/>
        </w:rPr>
        <w:t>.</w:t>
      </w:r>
      <w:r>
        <w:rPr>
          <w:rFonts w:hint="eastAsia" w:ascii="宋体" w:hAnsi="宋体"/>
          <w:szCs w:val="24"/>
        </w:rPr>
        <w:t>出资人（主管部门）批准该</w:t>
      </w:r>
      <w:r>
        <w:rPr>
          <w:rFonts w:hint="eastAsia"/>
        </w:rPr>
        <w:t>企业法人</w:t>
      </w:r>
      <w:r>
        <w:rPr>
          <w:rFonts w:hint="eastAsia" w:ascii="宋体" w:hAnsi="宋体"/>
          <w:szCs w:val="24"/>
        </w:rPr>
        <w:t>注销的文件，</w:t>
      </w:r>
      <w:r>
        <w:rPr>
          <w:rFonts w:hint="eastAsia" w:ascii="宋体" w:hAnsi="宋体" w:cs="仿宋_GB2312"/>
          <w:szCs w:val="24"/>
        </w:rPr>
        <w:t>人民法院的破产裁定、解散裁判文书，行政机关责令该</w:t>
      </w:r>
      <w:r>
        <w:rPr>
          <w:rFonts w:hint="eastAsia"/>
        </w:rPr>
        <w:t>企业法人</w:t>
      </w:r>
      <w:r>
        <w:rPr>
          <w:rFonts w:hint="eastAsia" w:ascii="宋体" w:hAnsi="宋体" w:cs="仿宋_GB2312"/>
          <w:szCs w:val="24"/>
        </w:rPr>
        <w:t>关闭、该企业依</w:t>
      </w:r>
      <w:r>
        <w:rPr>
          <w:rFonts w:hint="eastAsia" w:ascii="宋体" w:hAnsi="宋体"/>
          <w:szCs w:val="24"/>
        </w:rPr>
        <w:t>法被吊销营业执照或被</w:t>
      </w:r>
      <w:r>
        <w:rPr>
          <w:rFonts w:hint="eastAsia" w:ascii="宋体" w:hAnsi="宋体" w:cs="仿宋_GB2312"/>
          <w:szCs w:val="24"/>
        </w:rPr>
        <w:t>撤销登记的文件。</w:t>
      </w:r>
    </w:p>
    <w:p>
      <w:pPr>
        <w:widowControl/>
        <w:overflowPunct w:val="0"/>
        <w:adjustRightInd w:val="0"/>
        <w:snapToGrid w:val="0"/>
        <w:spacing w:line="440" w:lineRule="exact"/>
        <w:ind w:firstLine="480"/>
        <w:rPr>
          <w:rFonts w:ascii="宋体" w:hAnsi="宋体"/>
          <w:szCs w:val="24"/>
        </w:rPr>
      </w:pPr>
      <w:r>
        <w:rPr>
          <w:rFonts w:ascii="宋体" w:hAnsi="宋体"/>
          <w:szCs w:val="24"/>
        </w:rPr>
        <w:t>3.</w:t>
      </w:r>
      <w:r>
        <w:rPr>
          <w:rFonts w:hint="eastAsia" w:ascii="宋体" w:hAnsi="宋体"/>
          <w:szCs w:val="24"/>
        </w:rPr>
        <w:t>出资人（主管部门）、清算组织出具的负责清理债权债务的文件，或清算组织、人民法院确认的清算报告。</w:t>
      </w:r>
    </w:p>
    <w:p>
      <w:pPr>
        <w:widowControl/>
        <w:overflowPunct w:val="0"/>
        <w:spacing w:line="440" w:lineRule="exact"/>
        <w:ind w:firstLine="480"/>
        <w:rPr>
          <w:rFonts w:ascii="宋体" w:hAnsi="宋体"/>
          <w:bCs/>
          <w:szCs w:val="24"/>
        </w:rPr>
      </w:pPr>
      <w:r>
        <w:rPr>
          <w:rFonts w:hint="eastAsia" w:ascii="宋体" w:hAnsi="宋体"/>
          <w:bCs/>
          <w:szCs w:val="24"/>
        </w:rPr>
        <w:t>4.人民法院指定</w:t>
      </w:r>
      <w:r>
        <w:rPr>
          <w:rFonts w:hint="eastAsia" w:ascii="宋体" w:hAnsi="宋体"/>
          <w:szCs w:val="24"/>
        </w:rPr>
        <w:t>清算人、破产管理人申请注销登记的，应提交人民法院指定其为清算人的证明。</w:t>
      </w:r>
    </w:p>
    <w:p>
      <w:pPr>
        <w:pStyle w:val="6"/>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清税证明材料（登记机关和税务部门已共享清税信息的，无需提交纸质清税证明材料）。</w:t>
      </w:r>
    </w:p>
    <w:p>
      <w:pPr>
        <w:pStyle w:val="6"/>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sz w:val="24"/>
          <w:szCs w:val="24"/>
        </w:rPr>
        <w:t>6.法律、行政法规规定非公司企业法人办理注销登记必须报经批准的，提交批准文件复印件。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7</w:t>
      </w:r>
      <w:r>
        <w:rPr>
          <w:rFonts w:ascii="宋体" w:hAnsi="宋体"/>
          <w:szCs w:val="24"/>
        </w:rPr>
        <w:t>.</w:t>
      </w:r>
      <w:r>
        <w:rPr>
          <w:rFonts w:hint="eastAsia" w:ascii="宋体" w:hAnsi="宋体"/>
          <w:szCs w:val="24"/>
        </w:rPr>
        <w:t>已领取纸质版营业执照的缴回营业执照正、副本。</w:t>
      </w:r>
    </w:p>
    <w:p>
      <w:pPr>
        <w:widowControl/>
        <w:overflowPunct w:val="0"/>
        <w:spacing w:line="440" w:lineRule="exact"/>
        <w:ind w:firstLine="472" w:firstLineChars="196"/>
        <w:rPr>
          <w:rFonts w:asci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依照《市场主体登记管理条例》设立的非公司企业法人申请注销登记适用本规范。</w:t>
      </w:r>
    </w:p>
    <w:p>
      <w:pPr>
        <w:widowControl/>
        <w:overflowPunct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申请简易注销登记的，提交《简易注销全体投资人承诺书》，提交此规范第1、7项材料。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或强制清算程序终结后办理注销登记的，提交此规范第1、4、7以及人民法院宣告破产的裁定书、终结破产程序的裁定书原件或人民法院终结强制清算程序的裁定书原件（包括以无法清算或无法全面清算为由作出的裁定）。</w:t>
      </w:r>
    </w:p>
    <w:p>
      <w:pPr>
        <w:widowControl/>
        <w:overflowPunct w:val="0"/>
        <w:spacing w:line="440" w:lineRule="exact"/>
        <w:ind w:firstLine="480" w:firstLineChars="200"/>
        <w:rPr>
          <w:rFonts w:ascii="宋体" w:hAnsi="宋体"/>
          <w:szCs w:val="24"/>
        </w:rPr>
      </w:pPr>
    </w:p>
    <w:p>
      <w:pPr>
        <w:pStyle w:val="2"/>
        <w:ind w:firstLine="600"/>
        <w:rPr>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747B18EF"/>
    <w:rsid w:val="747B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498</Words>
  <Characters>508</Characters>
  <Lines>0</Lines>
  <Paragraphs>0</Paragraphs>
  <TotalTime>0</TotalTime>
  <ScaleCrop>false</ScaleCrop>
  <LinksUpToDate>false</LinksUpToDate>
  <CharactersWithSpaces>508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2023-06-12T07:14:00Z</dcterms:created>
  <dc:creator>小蛋糕</dc:creator>
  <cp:lastModifiedBy>小蛋糕</cp:lastModifiedBy>
  <dcterms:modified xsi:type="dcterms:W3CDTF">2023-06-12T07:14:29Z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1B708610FFB143C3A77D9C0A76E12C76_11</vt:lpwstr>
  </property>
</Properties>
</file>