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13"/>
        <w:gridCol w:w="834"/>
        <w:gridCol w:w="924"/>
        <w:gridCol w:w="3281"/>
        <w:gridCol w:w="903"/>
        <w:gridCol w:w="870"/>
        <w:gridCol w:w="900"/>
        <w:gridCol w:w="887"/>
        <w:gridCol w:w="872"/>
        <w:gridCol w:w="798"/>
        <w:gridCol w:w="871"/>
        <w:gridCol w:w="3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4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内蒙古自治区市场监督管理证明事项告知承诺制目录清单（2022版）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涉及的依申请行政事项</w:t>
            </w:r>
          </w:p>
        </w:tc>
        <w:tc>
          <w:tcPr>
            <w:tcW w:w="4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设定依据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实施基本情况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行政属性</w:t>
            </w:r>
          </w:p>
        </w:tc>
        <w:tc>
          <w:tcPr>
            <w:tcW w:w="3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依据名称、文号及条文内容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索要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盟市级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旗县级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乡级及其他</w:t>
            </w:r>
          </w:p>
        </w:tc>
        <w:tc>
          <w:tcPr>
            <w:tcW w:w="3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视力证明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特种设备无损检测人员许可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1.《特种设备无损检测人员考核规则》（TSG Z8001-2019）第十一条“申请人应当向发证机关提交以下申请资料并对所提资料的合法性、真实性、有效性负责：（二）视力证明；第二十二条 换证申请时，申请人应当向发证机关提交以下资料：（二视力证明）。”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安全技术规范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体检中心或医院等相关医疗技术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申请射线检测、磁粉检测、渗透检测、漏磁检测的，单眼或者双眼裸视力或者矫正视力达到GB 11533-2011《标准对数视力表》的5.0级以上；申请超声检测、声发射检测、涡流检测的，单眼或者双眼裸视力或者矫正视力达到GB 11533-2011《标准对数视力表》的4.8级以上。申请磁粉检测、渗透检测的，不得有色盲。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257C"/>
    <w:rsid w:val="4E55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2022-06-02T03:14:00Z</dcterms:created>
  <dc:creator>演示人</dc:creator>
  <cp:lastModifiedBy>演示人</cp:lastModifiedBy>
  <dcterms:modified xsi:type="dcterms:W3CDTF">2022-06-02T03:14:31Z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A4D5E929E6CD4D1F9E53E9D34E4AF469</vt:lpwstr>
  </property>
</Properties>
</file>